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pPr>
      <w:r>
        <w:rPr>
          <w:rFonts w:ascii="Aptos" w:hAnsi="Aptos"/>
          <w:b/>
          <w:color w:val="FF725E"/>
          <w:sz w:val="17"/>
        </w:rPr>
        <w:t>SERIE: ¿FUNCIONA TU FE? — SANTIAGO</w:t>
      </w:r>
    </w:p>
    <w:p>
      <w:pPr>
        <w:pStyle w:val="Title"/>
        <w:spacing w:before="0" w:after="20"/>
        <w:ind w:left="0" w:firstLine="0"/>
        <w:jc w:val="left"/>
      </w:pPr>
      <w:r>
        <w:rPr>
          <w:rFonts w:ascii="Aptos Display" w:hAnsi="Aptos Display"/>
          <w:b/>
          <w:color w:val="102A3D"/>
          <w:sz w:val="44"/>
        </w:rPr>
        <w:t>Lección 1: ¿Es auténtica mi fe?</w:t>
      </w:r>
    </w:p>
    <w:p>
      <w:pPr>
        <w:spacing w:after="80"/>
      </w:pPr>
      <w:r>
        <w:rPr>
          <w:rFonts w:ascii="Aptos" w:hAnsi="Aptos"/>
          <w:b w:val="0"/>
          <w:i/>
          <w:color w:val="5B6770"/>
          <w:sz w:val="20"/>
        </w:rPr>
        <w:t>Guía pastoral del maestro • Santiago 1:1–18 • RVR1960</w:t>
      </w:r>
    </w:p>
    <w:p>
      <w:pPr>
        <w:spacing w:after="80" w:line="120" w:lineRule="auto"/>
      </w:pPr>
      <w:r>
        <w:rPr>
          <w:rFonts w:ascii="Aptos" w:hAnsi="Aptos"/>
          <w:b/>
          <w:color w:val="FF725E"/>
          <w:sz w:val="12"/>
        </w:rPr>
        <w:t>━━━━━━━━━━━━━━━━━━━━━━━━━━━━━━━━━━━━━━━━━━━━━━━━━━━━━━━━━━━━━━━━━━━━</w:t>
      </w:r>
    </w:p>
    <w:tbl>
      <w:tblPr>
        <w:tblW w:type="auto" w:w="0"/>
        <w:jc w:val="center"/>
        <w:tblLayout w:type="autofit"/>
        <w:tblLook w:firstColumn="1" w:firstRow="1" w:lastColumn="0" w:lastRow="0" w:noHBand="0" w:noVBand="1" w:val="04A0"/>
      </w:tblPr>
      <w:tblGrid>
        <w:gridCol w:w="3523"/>
        <w:gridCol w:w="3523"/>
        <w:gridCol w:w="3523"/>
      </w:tblGrid>
      <w:tr>
        <w:tc>
          <w:tcPr>
            <w:tcW w:type="dxa" w:w="3523"/>
            <w:vAlign w:val="center"/>
            <w:shd w:fill="E8F2F0"/>
            <w:tcBorders>
              <w:top w:val="single" w:sz="5" w:color="C9D7E4"/>
              <w:bottom w:val="single" w:sz="5" w:color="C9D7E4"/>
            </w:tcBorders>
          </w:tcPr>
          <w:p>
            <w:pPr>
              <w:spacing w:after="0"/>
            </w:pPr>
            <w:r>
              <w:rPr>
                <w:rFonts w:ascii="Aptos" w:hAnsi="Aptos"/>
                <w:b/>
                <w:color w:val="057D75"/>
                <w:sz w:val="15"/>
              </w:rPr>
              <w:t>TEXTO BASE</w:t>
              <w:br/>
            </w:r>
            <w:r>
              <w:rPr>
                <w:rFonts w:ascii="Aptos" w:hAnsi="Aptos"/>
                <w:b/>
                <w:color w:val="102A3D"/>
                <w:sz w:val="18"/>
              </w:rPr>
              <w:t>Santiago 1:1–18</w:t>
            </w:r>
          </w:p>
        </w:tc>
        <w:tc>
          <w:tcPr>
            <w:tcW w:type="dxa" w:w="3523"/>
            <w:vAlign w:val="center"/>
            <w:shd w:fill="E8F2F0"/>
            <w:tcBorders>
              <w:top w:val="single" w:sz="5" w:color="C9D7E4"/>
              <w:bottom w:val="single" w:sz="5" w:color="C9D7E4"/>
            </w:tcBorders>
          </w:tcPr>
          <w:p>
            <w:pPr>
              <w:spacing w:after="0"/>
            </w:pPr>
            <w:r>
              <w:rPr>
                <w:rFonts w:ascii="Aptos" w:hAnsi="Aptos"/>
                <w:b/>
                <w:color w:val="057D75"/>
                <w:sz w:val="15"/>
              </w:rPr>
              <w:t>VERSÍCULO CLAVE</w:t>
              <w:br/>
            </w:r>
            <w:r>
              <w:rPr>
                <w:rFonts w:ascii="Aptos" w:hAnsi="Aptos"/>
                <w:b/>
                <w:color w:val="102A3D"/>
                <w:sz w:val="18"/>
              </w:rPr>
              <w:t>Santiago 1:12</w:t>
            </w:r>
          </w:p>
        </w:tc>
        <w:tc>
          <w:tcPr>
            <w:tcW w:type="dxa" w:w="3523"/>
            <w:vAlign w:val="center"/>
            <w:shd w:fill="E8F2F0"/>
            <w:tcBorders>
              <w:top w:val="single" w:sz="5" w:color="C9D7E4"/>
              <w:bottom w:val="single" w:sz="5" w:color="C9D7E4"/>
            </w:tcBorders>
          </w:tcPr>
          <w:p>
            <w:pPr>
              <w:spacing w:after="0"/>
            </w:pPr>
            <w:r>
              <w:rPr>
                <w:rFonts w:ascii="Aptos" w:hAnsi="Aptos"/>
                <w:b/>
                <w:color w:val="057D75"/>
                <w:sz w:val="15"/>
              </w:rPr>
              <w:t>DURACIÓN</w:t>
              <w:br/>
            </w:r>
            <w:r>
              <w:rPr>
                <w:rFonts w:ascii="Aptos" w:hAnsi="Aptos"/>
                <w:b/>
                <w:color w:val="102A3D"/>
                <w:sz w:val="18"/>
              </w:rPr>
              <w:t>60–70 minutos</w:t>
            </w:r>
          </w:p>
        </w:tc>
      </w:tr>
    </w:tbl>
    <w:p>
      <w:pPr>
        <w:spacing w:after="0"/>
      </w:pPr>
    </w:p>
    <w:tbl>
      <w:tblPr>
        <w:tblW w:type="auto" w:w="0"/>
        <w:jc w:val="center"/>
        <w:tblLook w:firstColumn="1" w:firstRow="1" w:lastColumn="0" w:lastRow="0" w:noHBand="0" w:noVBand="1" w:val="04A0"/>
      </w:tblPr>
      <w:tblGrid>
        <w:gridCol w:w="10570"/>
      </w:tblGrid>
      <w:tr>
        <w:tc>
          <w:tcPr>
            <w:tcW w:type="dxa" w:w="10570"/>
            <w:shd w:fill="F4F1E9"/>
            <w:tcBorders>
              <w:top w:val="nil"/>
              <w:left w:val="single" w:sz="18" w:color="FF725E"/>
              <w:bottom w:val="nil"/>
              <w:right w:val="nil"/>
            </w:tcBorders>
          </w:tcPr>
          <w:p>
            <w:pPr>
              <w:spacing w:after="0"/>
            </w:pPr>
            <w:r>
              <w:rPr>
                <w:rFonts w:ascii="Aptos" w:hAnsi="Aptos"/>
                <w:b/>
                <w:color w:val="102A3D"/>
                <w:sz w:val="18"/>
              </w:rPr>
              <w:t xml:space="preserve">Verdad central: </w:t>
            </w:r>
            <w:r>
              <w:rPr>
                <w:rFonts w:ascii="Aptos" w:hAnsi="Aptos"/>
                <w:b w:val="0"/>
                <w:color w:val="102A3D"/>
                <w:sz w:val="18"/>
              </w:rPr>
              <w:t>La fe auténtica no elimina las pruebas y tentaciones; responde a ellas confiando en el carácter de Dios.</w:t>
            </w:r>
          </w:p>
        </w:tc>
      </w:tr>
    </w:tbl>
    <w:p>
      <w:pPr>
        <w:pStyle w:val="Heading2"/>
      </w:pPr>
      <w:r>
        <w:t>Propósito de la lección</w:t>
      </w:r>
    </w:p>
    <w:p>
      <w:r>
        <w:t>Que los estudiantes distingan entre una fe solamente declarada y una fe que persevera, pide sabiduría, reconoce el verdadero valor y rechaza la tentación confiando en la bondad de Dios.</w:t>
      </w:r>
    </w:p>
    <w:p>
      <w:pPr>
        <w:pStyle w:val="Heading2"/>
      </w:pPr>
      <w:r>
        <w:t>Introducción pastoral</w:t>
      </w:r>
    </w:p>
    <w:p>
      <w:r>
        <w:t>Santiago escribe a creyentes dispersos y presionados. No presenta una fe cómoda, sino una fe comprobada en la vida real. La pregunta no es si tendremos dificultades, sino qué revelarán esas dificultades acerca de nuestra confianza en Dios. Abra preguntando: “¿La presión fortalece mi fe o solamente descubre lo que ya había en mi corazón?”</w:t>
      </w:r>
    </w:p>
    <w:p>
      <w:pPr>
        <w:pStyle w:val="Heading1"/>
        <w:spacing w:before="80"/>
      </w:pPr>
      <w:r>
        <w:rPr>
          <w:rFonts w:ascii="Aptos Display" w:hAnsi="Aptos Display"/>
          <w:b/>
          <w:color w:val="102A3D"/>
          <w:sz w:val="29"/>
        </w:rPr>
        <w:t>1. Una fe auténtica persevera en las pruebas</w:t>
      </w:r>
    </w:p>
    <w:p>
      <w:pPr>
        <w:spacing w:after="40"/>
      </w:pPr>
      <w:r>
        <w:rPr>
          <w:rFonts w:ascii="Aptos" w:hAnsi="Aptos"/>
          <w:b/>
          <w:color w:val="FF725E"/>
          <w:sz w:val="18"/>
        </w:rPr>
        <w:t xml:space="preserve">Texto principal: </w:t>
      </w:r>
      <w:r>
        <w:rPr>
          <w:rFonts w:ascii="Aptos" w:hAnsi="Aptos"/>
          <w:b/>
          <w:color w:val="057D75"/>
          <w:sz w:val="18"/>
        </w:rPr>
        <w:t>Santiago 1:2–4</w:t>
      </w:r>
    </w:p>
    <w:p>
      <w:pPr>
        <w:spacing w:after="50"/>
      </w:pPr>
      <w:r>
        <w:t>Santiago no llama buena a la prueba en sí; enseña a considerar con gozo lo que Dios puede producir mediante ella. La prueba examina la fe, la perseverancia completa el proceso y la madurez es el fruto.</w:t>
      </w:r>
    </w:p>
    <w:p>
      <w:pPr>
        <w:pStyle w:val="ListBullet"/>
        <w:spacing w:after="30"/>
        <w:ind w:left="259" w:hanging="173"/>
      </w:pPr>
      <w:r>
        <w:rPr>
          <w:rFonts w:ascii="Aptos" w:hAnsi="Aptos"/>
          <w:sz w:val="19"/>
        </w:rPr>
        <w:t>El gozo cristiano no niega el dolor; mira el propósito de Dios más allá del momento.</w:t>
      </w:r>
    </w:p>
    <w:p>
      <w:pPr>
        <w:pStyle w:val="ListBullet"/>
        <w:spacing w:after="30"/>
        <w:ind w:left="259" w:hanging="173"/>
      </w:pPr>
      <w:r>
        <w:rPr>
          <w:rFonts w:ascii="Aptos" w:hAnsi="Aptos"/>
          <w:sz w:val="19"/>
        </w:rPr>
        <w:t>La paciencia bíblica es resistencia activa: permanecer fiel sin abandonar a Cristo.</w:t>
      </w:r>
    </w:p>
    <w:p>
      <w:pPr>
        <w:pStyle w:val="ListBullet"/>
        <w:spacing w:after="30"/>
        <w:ind w:left="259" w:hanging="173"/>
      </w:pPr>
      <w:r>
        <w:rPr>
          <w:rFonts w:ascii="Aptos" w:hAnsi="Aptos"/>
          <w:sz w:val="19"/>
        </w:rPr>
        <w:t>Dios quiere formar un carácter íntegro, no solamente sacarnos rápidamente del problema.</w:t>
      </w:r>
    </w:p>
    <w:p>
      <w:pPr>
        <w:spacing w:before="20" w:after="20"/>
      </w:pPr>
      <w:r>
        <w:rPr>
          <w:rFonts w:ascii="Aptos" w:hAnsi="Aptos"/>
          <w:b/>
          <w:color w:val="057D75"/>
          <w:sz w:val="17"/>
        </w:rPr>
        <w:t xml:space="preserve">Referencias de apoyo: </w:t>
      </w:r>
      <w:r>
        <w:rPr>
          <w:rFonts w:ascii="Aptos" w:hAnsi="Aptos"/>
          <w:b w:val="0"/>
          <w:color w:val="5B6770"/>
          <w:sz w:val="17"/>
        </w:rPr>
        <w:t>Romanos 5:3–5; 1 Pedro 1:6–7; Hebreos 10:36; Salmo 66:10–12.</w:t>
      </w:r>
    </w:p>
    <w:p>
      <w:pPr>
        <w:spacing w:after="20"/>
      </w:pPr>
      <w:r>
        <w:rPr>
          <w:rFonts w:ascii="Aptos" w:hAnsi="Aptos"/>
          <w:b/>
          <w:color w:val="FF725E"/>
          <w:sz w:val="17"/>
        </w:rPr>
        <w:t xml:space="preserve">Aplicación: </w:t>
      </w:r>
      <w:r>
        <w:rPr>
          <w:rFonts w:ascii="Aptos" w:hAnsi="Aptos"/>
          <w:sz w:val="17"/>
        </w:rPr>
        <w:t>En vez de preguntar solamente “¿por qué me sucede esto?”, pregunte también “¿qué desea formar Dios en mí?”. No tome decisiones permanentes bajo una emoción temporal.</w:t>
      </w:r>
    </w:p>
    <w:tbl>
      <w:tblPr>
        <w:tblW w:type="auto" w:w="0"/>
        <w:jc w:val="center"/>
        <w:tblLook w:firstColumn="1" w:firstRow="1" w:lastColumn="0" w:lastRow="0" w:noHBand="0" w:noVBand="1" w:val="04A0"/>
      </w:tblPr>
      <w:tblGrid>
        <w:gridCol w:w="10570"/>
      </w:tblGrid>
      <w:tr>
        <w:tc>
          <w:tcPr>
            <w:tcW w:type="dxa" w:w="10570"/>
            <w:shd w:fill="E8F2F0"/>
            <w:tcBorders>
              <w:top w:val="nil"/>
              <w:left w:val="single" w:sz="18" w:color="FF725E"/>
              <w:bottom w:val="nil"/>
              <w:right w:val="nil"/>
            </w:tcBorders>
          </w:tcPr>
          <w:p>
            <w:pPr>
              <w:spacing w:after="0"/>
            </w:pPr>
            <w:r>
              <w:rPr>
                <w:rFonts w:ascii="Aptos" w:hAnsi="Aptos"/>
                <w:b/>
                <w:color w:val="102A3D"/>
                <w:sz w:val="18"/>
              </w:rPr>
              <w:t xml:space="preserve">Para recordar: </w:t>
            </w:r>
            <w:r>
              <w:rPr>
                <w:rFonts w:ascii="Aptos" w:hAnsi="Aptos"/>
                <w:b w:val="0"/>
                <w:color w:val="102A3D"/>
                <w:sz w:val="18"/>
              </w:rPr>
              <w:t>La prueba no define el final de nuestra historia; puede convertirse en el taller donde Dios madura nuestra fe.</w:t>
            </w:r>
          </w:p>
        </w:tc>
      </w:tr>
    </w:tbl>
    <w:p>
      <w:r>
        <w:br w:type="page"/>
      </w:r>
    </w:p>
    <w:p>
      <w:pPr>
        <w:spacing w:after="20"/>
      </w:pPr>
      <w:r>
        <w:rPr>
          <w:rFonts w:ascii="Aptos" w:hAnsi="Aptos"/>
          <w:b/>
          <w:color w:val="FF725E"/>
          <w:sz w:val="17"/>
        </w:rPr>
        <w:t>LECCIÓN 1 — DESARROLLO</w:t>
      </w:r>
    </w:p>
    <w:p>
      <w:pPr>
        <w:pStyle w:val="Title"/>
        <w:spacing w:before="0" w:after="20"/>
        <w:ind w:left="0" w:firstLine="0"/>
        <w:jc w:val="left"/>
      </w:pPr>
      <w:r>
        <w:rPr>
          <w:rFonts w:ascii="Georgia" w:hAnsi="Georgia"/>
          <w:b/>
          <w:color w:val="102A3D"/>
          <w:sz w:val="54"/>
        </w:rPr>
        <w:t>La fe se demuestra en la vida real</w:t>
      </w:r>
    </w:p>
    <w:p>
      <w:pPr>
        <w:spacing w:after="80" w:line="120" w:lineRule="auto"/>
      </w:pPr>
      <w:r>
        <w:rPr>
          <w:rFonts w:ascii="Aptos" w:hAnsi="Aptos"/>
          <w:b/>
          <w:color w:val="FF725E"/>
          <w:sz w:val="12"/>
        </w:rPr>
        <w:t>━━━━━━━━━━━━━━━━━━━━━━━━━━━━━━━━━━━━━━━━━━━━━━━━━━━━━━━━━━━━━━━━━━━━</w:t>
      </w:r>
    </w:p>
    <w:p>
      <w:pPr>
        <w:pStyle w:val="Heading1"/>
        <w:spacing w:before="80"/>
      </w:pPr>
      <w:r>
        <w:rPr>
          <w:rFonts w:ascii="Aptos Display" w:hAnsi="Aptos Display"/>
          <w:b/>
          <w:color w:val="102A3D"/>
          <w:sz w:val="29"/>
        </w:rPr>
        <w:t>2. Una fe madura busca la sabiduría de Dios</w:t>
      </w:r>
    </w:p>
    <w:p>
      <w:pPr>
        <w:spacing w:after="40"/>
      </w:pPr>
      <w:r>
        <w:rPr>
          <w:rFonts w:ascii="Aptos" w:hAnsi="Aptos"/>
          <w:b/>
          <w:color w:val="FF725E"/>
          <w:sz w:val="18"/>
        </w:rPr>
        <w:t xml:space="preserve">Texto principal: </w:t>
      </w:r>
      <w:r>
        <w:rPr>
          <w:rFonts w:ascii="Aptos" w:hAnsi="Aptos"/>
          <w:b/>
          <w:color w:val="057D75"/>
          <w:sz w:val="18"/>
        </w:rPr>
        <w:t>Santiago 1:5–8</w:t>
      </w:r>
    </w:p>
    <w:p>
      <w:pPr>
        <w:spacing w:after="50"/>
      </w:pPr>
      <w:r>
        <w:t>La prueba revela nuestra falta de sabiduría. Dios no ridiculiza al que reconoce su necesidad; da generosamente. Pedir con fe significa acercarse confiando en su carácter y dispuesto a obedecer su respuesta.</w:t>
      </w:r>
    </w:p>
    <w:p>
      <w:pPr>
        <w:pStyle w:val="ListBullet"/>
        <w:spacing w:after="30"/>
        <w:ind w:left="259" w:hanging="173"/>
      </w:pPr>
      <w:r>
        <w:rPr>
          <w:rFonts w:ascii="Aptos" w:hAnsi="Aptos"/>
          <w:sz w:val="19"/>
        </w:rPr>
        <w:t>La sabiduría no es solamente información; es saber actuar de acuerdo con la voluntad de Dios.</w:t>
      </w:r>
    </w:p>
    <w:p>
      <w:pPr>
        <w:pStyle w:val="ListBullet"/>
        <w:spacing w:after="30"/>
        <w:ind w:left="259" w:hanging="173"/>
      </w:pPr>
      <w:r>
        <w:rPr>
          <w:rFonts w:ascii="Aptos" w:hAnsi="Aptos"/>
          <w:sz w:val="19"/>
        </w:rPr>
        <w:t>La duda descrita por Santiago es un corazón dividido: pedir dirección mientras se reserva el derecho de ignorarla.</w:t>
      </w:r>
    </w:p>
    <w:p>
      <w:pPr>
        <w:pStyle w:val="ListBullet"/>
        <w:spacing w:after="30"/>
        <w:ind w:left="259" w:hanging="173"/>
      </w:pPr>
      <w:r>
        <w:rPr>
          <w:rFonts w:ascii="Aptos" w:hAnsi="Aptos"/>
          <w:sz w:val="19"/>
        </w:rPr>
        <w:t>La estabilidad nace cuando nuestra lealtad principal pertenece a Cristo.</w:t>
      </w:r>
    </w:p>
    <w:p>
      <w:pPr>
        <w:spacing w:before="20" w:after="20"/>
      </w:pPr>
      <w:r>
        <w:rPr>
          <w:rFonts w:ascii="Aptos" w:hAnsi="Aptos"/>
          <w:b/>
          <w:color w:val="057D75"/>
          <w:sz w:val="17"/>
        </w:rPr>
        <w:t xml:space="preserve">Referencias de apoyo: </w:t>
      </w:r>
      <w:r>
        <w:rPr>
          <w:rFonts w:ascii="Aptos" w:hAnsi="Aptos"/>
          <w:b w:val="0"/>
          <w:color w:val="5B6770"/>
          <w:sz w:val="17"/>
        </w:rPr>
        <w:t>Proverbios 2:6; Proverbios 3:5–6; Mateo 7:7–11; Hebreos 11:6.</w:t>
      </w:r>
    </w:p>
    <w:p>
      <w:pPr>
        <w:spacing w:after="20"/>
      </w:pPr>
      <w:r>
        <w:rPr>
          <w:rFonts w:ascii="Aptos" w:hAnsi="Aptos"/>
          <w:b/>
          <w:color w:val="FF725E"/>
          <w:sz w:val="17"/>
        </w:rPr>
        <w:t xml:space="preserve">Aplicación: </w:t>
      </w:r>
      <w:r>
        <w:rPr>
          <w:rFonts w:ascii="Aptos" w:hAnsi="Aptos"/>
          <w:sz w:val="17"/>
        </w:rPr>
        <w:t>Antes de una decisión importante, ore, examine la Escritura, busque consejo maduro y pregunte si está dispuesto a obedecer aunque la respuesta no coincida con su preferencia.</w:t>
      </w:r>
    </w:p>
    <w:tbl>
      <w:tblPr>
        <w:tblW w:type="auto" w:w="0"/>
        <w:jc w:val="center"/>
        <w:tblLook w:firstColumn="1" w:firstRow="1" w:lastColumn="0" w:lastRow="0" w:noHBand="0" w:noVBand="1" w:val="04A0"/>
      </w:tblPr>
      <w:tblGrid>
        <w:gridCol w:w="10570"/>
      </w:tblGrid>
      <w:tr>
        <w:tc>
          <w:tcPr>
            <w:tcW w:type="dxa" w:w="10570"/>
            <w:shd w:fill="E8F2F0"/>
            <w:tcBorders>
              <w:top w:val="nil"/>
              <w:left w:val="single" w:sz="18" w:color="FF725E"/>
              <w:bottom w:val="nil"/>
              <w:right w:val="nil"/>
            </w:tcBorders>
          </w:tcPr>
          <w:p>
            <w:pPr>
              <w:spacing w:after="0"/>
            </w:pPr>
            <w:r>
              <w:rPr>
                <w:rFonts w:ascii="Aptos" w:hAnsi="Aptos"/>
                <w:b/>
                <w:color w:val="102A3D"/>
                <w:sz w:val="18"/>
              </w:rPr>
              <w:t xml:space="preserve">Para recordar: </w:t>
            </w:r>
            <w:r>
              <w:rPr>
                <w:rFonts w:ascii="Aptos" w:hAnsi="Aptos"/>
                <w:b w:val="0"/>
                <w:color w:val="102A3D"/>
                <w:sz w:val="18"/>
              </w:rPr>
              <w:t>Dios no promete explicarnos todo, pero promete dar sabiduría para el siguiente paso.</w:t>
            </w:r>
          </w:p>
        </w:tc>
      </w:tr>
    </w:tbl>
    <w:p>
      <w:pPr>
        <w:pStyle w:val="Heading1"/>
        <w:spacing w:before="80"/>
      </w:pPr>
      <w:r>
        <w:rPr>
          <w:rFonts w:ascii="Aptos Display" w:hAnsi="Aptos Display"/>
          <w:b/>
          <w:color w:val="102A3D"/>
          <w:sz w:val="29"/>
        </w:rPr>
        <w:t>3. Una fe firme entiende el verdadero valor de la vida</w:t>
      </w:r>
    </w:p>
    <w:p>
      <w:pPr>
        <w:spacing w:after="40"/>
      </w:pPr>
      <w:r>
        <w:rPr>
          <w:rFonts w:ascii="Aptos" w:hAnsi="Aptos"/>
          <w:b/>
          <w:color w:val="FF725E"/>
          <w:sz w:val="18"/>
        </w:rPr>
        <w:t xml:space="preserve">Texto principal: </w:t>
      </w:r>
      <w:r>
        <w:rPr>
          <w:rFonts w:ascii="Aptos" w:hAnsi="Aptos"/>
          <w:b/>
          <w:color w:val="057D75"/>
          <w:sz w:val="18"/>
        </w:rPr>
        <w:t>Santiago 1:9–12</w:t>
      </w:r>
    </w:p>
    <w:p>
      <w:pPr>
        <w:spacing w:after="50"/>
      </w:pPr>
      <w:r>
        <w:t>Santiago coloca al pobre y al rico delante de la misma realidad: la posición terrenal cambia, pero la identidad en Cristo permanece. El pobre puede gloriarse en su exaltación en Cristo y el rico debe recordar la fragilidad de sus ventajas.</w:t>
      </w:r>
    </w:p>
    <w:p>
      <w:pPr>
        <w:pStyle w:val="ListBullet"/>
        <w:spacing w:after="30"/>
        <w:ind w:left="259" w:hanging="173"/>
      </w:pPr>
      <w:r>
        <w:rPr>
          <w:rFonts w:ascii="Aptos" w:hAnsi="Aptos"/>
          <w:sz w:val="19"/>
        </w:rPr>
        <w:t>La pobreza no reduce el valor de una persona delante de Dios.</w:t>
      </w:r>
    </w:p>
    <w:p>
      <w:pPr>
        <w:pStyle w:val="ListBullet"/>
        <w:spacing w:after="30"/>
        <w:ind w:left="259" w:hanging="173"/>
      </w:pPr>
      <w:r>
        <w:rPr>
          <w:rFonts w:ascii="Aptos" w:hAnsi="Aptos"/>
          <w:sz w:val="19"/>
        </w:rPr>
        <w:t>La riqueza, la belleza, la influencia y la fama son como la flor del campo: visibles, pero pasajeras.</w:t>
      </w:r>
    </w:p>
    <w:p>
      <w:pPr>
        <w:pStyle w:val="ListBullet"/>
        <w:spacing w:after="30"/>
        <w:ind w:left="259" w:hanging="173"/>
      </w:pPr>
      <w:r>
        <w:rPr>
          <w:rFonts w:ascii="Aptos" w:hAnsi="Aptos"/>
          <w:sz w:val="19"/>
        </w:rPr>
        <w:t>La verdadera bienaventuranza pertenece a quien ama a Dios y permanece fiel hasta recibir la corona de vida.</w:t>
      </w:r>
    </w:p>
    <w:p>
      <w:pPr>
        <w:spacing w:before="20" w:after="20"/>
      </w:pPr>
      <w:r>
        <w:rPr>
          <w:rFonts w:ascii="Aptos" w:hAnsi="Aptos"/>
          <w:b/>
          <w:color w:val="057D75"/>
          <w:sz w:val="17"/>
        </w:rPr>
        <w:t xml:space="preserve">Referencias de apoyo: </w:t>
      </w:r>
      <w:r>
        <w:rPr>
          <w:rFonts w:ascii="Aptos" w:hAnsi="Aptos"/>
          <w:b w:val="0"/>
          <w:color w:val="5B6770"/>
          <w:sz w:val="17"/>
        </w:rPr>
        <w:t>Lucas 12:15; Mateo 6:19–21; 1 Corintios 1:26–29; Apocalipsis 2:10.</w:t>
      </w:r>
    </w:p>
    <w:p>
      <w:pPr>
        <w:spacing w:after="20"/>
      </w:pPr>
      <w:r>
        <w:rPr>
          <w:rFonts w:ascii="Aptos" w:hAnsi="Aptos"/>
          <w:b/>
          <w:color w:val="FF725E"/>
          <w:sz w:val="17"/>
        </w:rPr>
        <w:t xml:space="preserve">Aplicación: </w:t>
      </w:r>
      <w:r>
        <w:rPr>
          <w:rFonts w:ascii="Aptos" w:hAnsi="Aptos"/>
          <w:sz w:val="17"/>
        </w:rPr>
        <w:t>Examine qué define su valor: salario, apariencia, aprobación, ministerio o identidad en Cristo. Use los recursos como mayordomo; no permita que se conviertan en su seguridad.</w:t>
      </w:r>
    </w:p>
    <w:tbl>
      <w:tblPr>
        <w:tblW w:type="auto" w:w="0"/>
        <w:jc w:val="center"/>
        <w:tblLook w:firstColumn="1" w:firstRow="1" w:lastColumn="0" w:lastRow="0" w:noHBand="0" w:noVBand="1" w:val="04A0"/>
      </w:tblPr>
      <w:tblGrid>
        <w:gridCol w:w="10570"/>
      </w:tblGrid>
      <w:tr>
        <w:tc>
          <w:tcPr>
            <w:tcW w:type="dxa" w:w="10570"/>
            <w:shd w:fill="E8F2F0"/>
            <w:tcBorders>
              <w:top w:val="nil"/>
              <w:left w:val="single" w:sz="18" w:color="FF725E"/>
              <w:bottom w:val="nil"/>
              <w:right w:val="nil"/>
            </w:tcBorders>
          </w:tcPr>
          <w:p>
            <w:pPr>
              <w:spacing w:after="0"/>
            </w:pPr>
            <w:r>
              <w:rPr>
                <w:rFonts w:ascii="Aptos" w:hAnsi="Aptos"/>
                <w:b/>
                <w:color w:val="102A3D"/>
                <w:sz w:val="18"/>
              </w:rPr>
              <w:t xml:space="preserve">Para recordar: </w:t>
            </w:r>
            <w:r>
              <w:rPr>
                <w:rFonts w:ascii="Aptos" w:hAnsi="Aptos"/>
                <w:b w:val="0"/>
                <w:color w:val="102A3D"/>
                <w:sz w:val="18"/>
              </w:rPr>
              <w:t>Lo que el mundo admira se marchita; lo que Dios forma en nosotros permanece.</w:t>
            </w:r>
          </w:p>
        </w:tc>
      </w:tr>
    </w:tbl>
    <w:p>
      <w:r>
        <w:br w:type="page"/>
      </w:r>
    </w:p>
    <w:p>
      <w:pPr>
        <w:spacing w:after="20"/>
      </w:pPr>
      <w:r>
        <w:rPr>
          <w:rFonts w:ascii="Aptos" w:hAnsi="Aptos"/>
          <w:b/>
          <w:color w:val="FF725E"/>
          <w:sz w:val="17"/>
        </w:rPr>
        <w:t>LECCIÓN 1 — CULMINACIÓN</w:t>
      </w:r>
    </w:p>
    <w:p>
      <w:pPr>
        <w:pStyle w:val="Title"/>
        <w:spacing w:before="0" w:after="20"/>
        <w:ind w:left="0" w:firstLine="0"/>
        <w:jc w:val="left"/>
      </w:pPr>
      <w:r>
        <w:rPr>
          <w:rFonts w:ascii="Aptos Display" w:hAnsi="Aptos Display"/>
          <w:b/>
          <w:color w:val="102A3D"/>
          <w:sz w:val="44"/>
        </w:rPr>
        <w:t>La bondad de Dios vence la mentira de la tentación</w:t>
      </w:r>
    </w:p>
    <w:p>
      <w:pPr>
        <w:spacing w:after="80" w:line="120" w:lineRule="auto"/>
      </w:pPr>
      <w:r>
        <w:rPr>
          <w:rFonts w:ascii="Aptos" w:hAnsi="Aptos"/>
          <w:b/>
          <w:color w:val="FF725E"/>
          <w:sz w:val="12"/>
        </w:rPr>
        <w:t>━━━━━━━━━━━━━━━━━━━━━━━━━━━━━━━━━━━━━━━━━━━━━━━━━━━━━━━━━━━━━━━━━━━━</w:t>
      </w:r>
    </w:p>
    <w:p>
      <w:pPr>
        <w:pStyle w:val="Heading1"/>
        <w:spacing w:before="80"/>
      </w:pPr>
      <w:r>
        <w:rPr>
          <w:rFonts w:ascii="Aptos Display" w:hAnsi="Aptos Display"/>
          <w:b/>
          <w:color w:val="102A3D"/>
          <w:sz w:val="29"/>
        </w:rPr>
        <w:t>4. Una fe verdadera vence la tentación confiando en la bondad de Dios</w:t>
      </w:r>
    </w:p>
    <w:p>
      <w:pPr>
        <w:spacing w:after="40"/>
      </w:pPr>
      <w:r>
        <w:rPr>
          <w:rFonts w:ascii="Aptos" w:hAnsi="Aptos"/>
          <w:b/>
          <w:color w:val="FF725E"/>
          <w:sz w:val="18"/>
        </w:rPr>
        <w:t xml:space="preserve">Texto principal: </w:t>
      </w:r>
      <w:r>
        <w:rPr>
          <w:rFonts w:ascii="Aptos" w:hAnsi="Aptos"/>
          <w:b/>
          <w:color w:val="057D75"/>
          <w:sz w:val="18"/>
        </w:rPr>
        <w:t>Santiago 1:13–18</w:t>
      </w:r>
    </w:p>
    <w:p>
      <w:pPr>
        <w:spacing w:after="50"/>
      </w:pPr>
      <w:r>
        <w:t>Dios puede usar una prueba para madurarnos, pero nunca seduce a nadie al pecado. La tentación comienza cuando un deseo desordenado nos atrae con una promesa falsa. El pecado concebido crece y termina produciendo muerte.</w:t>
      </w:r>
    </w:p>
    <w:p>
      <w:pPr>
        <w:pStyle w:val="ListBullet"/>
        <w:spacing w:after="30"/>
        <w:ind w:left="259" w:hanging="173"/>
      </w:pPr>
      <w:r>
        <w:rPr>
          <w:rFonts w:ascii="Aptos" w:hAnsi="Aptos"/>
          <w:sz w:val="19"/>
        </w:rPr>
        <w:t>No debemos culpar a Dios, al diablo o a otras personas por decisiones que debemos reconocer y confesar.</w:t>
      </w:r>
    </w:p>
    <w:p>
      <w:pPr>
        <w:pStyle w:val="ListBullet"/>
        <w:spacing w:after="30"/>
        <w:ind w:left="259" w:hanging="173"/>
      </w:pPr>
      <w:r>
        <w:rPr>
          <w:rFonts w:ascii="Aptos" w:hAnsi="Aptos"/>
          <w:sz w:val="19"/>
        </w:rPr>
        <w:t>Toda tentación presenta una mentira acerca de Dios: “Dios no es suficiente” o “Dios te está privando de algo mejor”.</w:t>
      </w:r>
    </w:p>
    <w:p>
      <w:pPr>
        <w:pStyle w:val="ListBullet"/>
        <w:spacing w:after="30"/>
        <w:ind w:left="259" w:hanging="173"/>
      </w:pPr>
      <w:r>
        <w:rPr>
          <w:rFonts w:ascii="Aptos" w:hAnsi="Aptos"/>
          <w:sz w:val="19"/>
        </w:rPr>
        <w:t>Santiago responde mirando al Padre: toda dádiva verdaderamente buena procede de él; su carácter no cambia.</w:t>
      </w:r>
    </w:p>
    <w:p>
      <w:pPr>
        <w:pStyle w:val="ListBullet"/>
        <w:spacing w:after="30"/>
        <w:ind w:left="259" w:hanging="173"/>
      </w:pPr>
      <w:r>
        <w:rPr>
          <w:rFonts w:ascii="Aptos" w:hAnsi="Aptos"/>
          <w:sz w:val="19"/>
        </w:rPr>
        <w:t>El nuevo nacimiento por la palabra de verdad demuestra que Dios no busca destruirnos, sino darnos vida.</w:t>
      </w:r>
    </w:p>
    <w:p>
      <w:pPr>
        <w:spacing w:before="20" w:after="20"/>
      </w:pPr>
      <w:r>
        <w:rPr>
          <w:rFonts w:ascii="Aptos" w:hAnsi="Aptos"/>
          <w:b/>
          <w:color w:val="057D75"/>
          <w:sz w:val="17"/>
        </w:rPr>
        <w:t xml:space="preserve">Referencias de apoyo: </w:t>
      </w:r>
      <w:r>
        <w:rPr>
          <w:rFonts w:ascii="Aptos" w:hAnsi="Aptos"/>
          <w:b w:val="0"/>
          <w:color w:val="5B6770"/>
          <w:sz w:val="17"/>
        </w:rPr>
        <w:t>Génesis 3:1–6; Mateo 4:1–11; 1 Corintios 10:13; Hebreos 4:15–16; Juan 3:16.</w:t>
      </w:r>
    </w:p>
    <w:p>
      <w:pPr>
        <w:spacing w:after="20"/>
      </w:pPr>
      <w:r>
        <w:rPr>
          <w:rFonts w:ascii="Aptos" w:hAnsi="Aptos"/>
          <w:b/>
          <w:color w:val="FF725E"/>
          <w:sz w:val="17"/>
        </w:rPr>
        <w:t xml:space="preserve">Aplicación: </w:t>
      </w:r>
      <w:r>
        <w:rPr>
          <w:rFonts w:ascii="Aptos" w:hAnsi="Aptos"/>
          <w:sz w:val="17"/>
        </w:rPr>
        <w:t>Identifique el deseo, la mentira y el momento que normalmente preceden a la caída. Prepare una salida concreta: alejarse, llamar a alguien maduro, orar y responder con la Escritura.</w:t>
      </w:r>
    </w:p>
    <w:tbl>
      <w:tblPr>
        <w:tblW w:type="auto" w:w="0"/>
        <w:jc w:val="center"/>
        <w:tblLook w:firstColumn="1" w:firstRow="1" w:lastColumn="0" w:lastRow="0" w:noHBand="0" w:noVBand="1" w:val="04A0"/>
      </w:tblPr>
      <w:tblGrid>
        <w:gridCol w:w="10570"/>
      </w:tblGrid>
      <w:tr>
        <w:tc>
          <w:tcPr>
            <w:tcW w:type="dxa" w:w="10570"/>
            <w:shd w:fill="E8F2F0"/>
            <w:tcBorders>
              <w:top w:val="nil"/>
              <w:left w:val="single" w:sz="18" w:color="FF725E"/>
              <w:bottom w:val="nil"/>
              <w:right w:val="nil"/>
            </w:tcBorders>
          </w:tcPr>
          <w:p>
            <w:pPr>
              <w:spacing w:after="0"/>
            </w:pPr>
            <w:r>
              <w:rPr>
                <w:rFonts w:ascii="Aptos" w:hAnsi="Aptos"/>
                <w:b/>
                <w:color w:val="102A3D"/>
                <w:sz w:val="18"/>
              </w:rPr>
              <w:t xml:space="preserve">Para recordar: </w:t>
            </w:r>
            <w:r>
              <w:rPr>
                <w:rFonts w:ascii="Aptos" w:hAnsi="Aptos"/>
                <w:b w:val="0"/>
                <w:color w:val="102A3D"/>
                <w:sz w:val="18"/>
              </w:rPr>
              <w:t>La tentación pierde fuerza cuando recordamos que Dios es bueno y que en Cristo no necesitamos aceptar su promesa falsa.</w:t>
            </w:r>
          </w:p>
        </w:tc>
      </w:tr>
    </w:tbl>
    <w:p>
      <w:pPr>
        <w:pStyle w:val="Heading2"/>
      </w:pPr>
      <w:r>
        <w:t>Cristo en el centro</w:t>
      </w:r>
    </w:p>
    <w:p>
      <w:r>
        <w:t>Jesús perseveró mirando el gozo puesto delante de él (Hebreos 12:2), es la sabiduría de Dios (1 Corintios 1:24), se humilló hasta la cruz (Filipenses 2:8) y venció la tentación usando la Palabra (Mateo 4:1–11). Él no es solamente nuestro ejemplo: murió y resucitó para salvarnos y darnos una vida nueva. Las obras no compran la salvación; la fe viva comienza a producirlas por la gracia de Dios (Efesios 2:8–10).</w:t>
      </w:r>
    </w:p>
    <w:p>
      <w:pPr>
        <w:pStyle w:val="Heading2"/>
      </w:pPr>
      <w:r>
        <w:t>Cierre y conversación</w:t>
      </w:r>
    </w:p>
    <w:p>
      <w:pPr>
        <w:pStyle w:val="ListBullet"/>
        <w:spacing w:after="30"/>
        <w:ind w:left="259" w:hanging="173"/>
      </w:pPr>
      <w:r>
        <w:rPr>
          <w:rFonts w:ascii="Aptos" w:hAnsi="Aptos"/>
          <w:sz w:val="18"/>
        </w:rPr>
        <w:t>¿Qué está revelando mi prueba acerca de mi fe?</w:t>
      </w:r>
    </w:p>
    <w:p>
      <w:pPr>
        <w:pStyle w:val="ListBullet"/>
        <w:spacing w:after="30"/>
        <w:ind w:left="259" w:hanging="173"/>
      </w:pPr>
      <w:r>
        <w:rPr>
          <w:rFonts w:ascii="Aptos" w:hAnsi="Aptos"/>
          <w:sz w:val="18"/>
        </w:rPr>
        <w:t>¿En qué decisión necesito pedir sabiduría sin doble ánimo?</w:t>
      </w:r>
    </w:p>
    <w:p>
      <w:pPr>
        <w:pStyle w:val="ListBullet"/>
        <w:spacing w:after="30"/>
        <w:ind w:left="259" w:hanging="173"/>
      </w:pPr>
      <w:r>
        <w:rPr>
          <w:rFonts w:ascii="Aptos" w:hAnsi="Aptos"/>
          <w:sz w:val="18"/>
        </w:rPr>
        <w:t>¿Qué cosa temporal ha comenzado a definir mi valor?</w:t>
      </w:r>
    </w:p>
    <w:p>
      <w:pPr>
        <w:pStyle w:val="ListBullet"/>
        <w:spacing w:after="30"/>
        <w:ind w:left="259" w:hanging="173"/>
      </w:pPr>
      <w:r>
        <w:rPr>
          <w:rFonts w:ascii="Aptos" w:hAnsi="Aptos"/>
          <w:sz w:val="18"/>
        </w:rPr>
        <w:t>¿Qué mentira debo reemplazar con la verdad de la bondad de Dios?</w:t>
      </w:r>
    </w:p>
    <w:tbl>
      <w:tblPr>
        <w:tblW w:type="auto" w:w="0"/>
        <w:jc w:val="center"/>
        <w:tblLook w:firstColumn="1" w:firstRow="1" w:lastColumn="0" w:lastRow="0" w:noHBand="0" w:noVBand="1" w:val="04A0"/>
      </w:tblPr>
      <w:tblGrid>
        <w:gridCol w:w="10570"/>
      </w:tblGrid>
      <w:tr>
        <w:tc>
          <w:tcPr>
            <w:tcW w:type="dxa" w:w="10570"/>
            <w:shd w:fill="F4F1E9"/>
            <w:tcBorders>
              <w:top w:val="nil"/>
              <w:left w:val="single" w:sz="18" w:color="FF725E"/>
              <w:bottom w:val="nil"/>
              <w:right w:val="nil"/>
            </w:tcBorders>
          </w:tcPr>
          <w:p>
            <w:pPr>
              <w:spacing w:after="0"/>
            </w:pPr>
            <w:r>
              <w:rPr>
                <w:rFonts w:ascii="Aptos" w:hAnsi="Aptos"/>
                <w:b/>
                <w:color w:val="102A3D"/>
                <w:sz w:val="18"/>
              </w:rPr>
              <w:t xml:space="preserve">Desafío final: </w:t>
            </w:r>
            <w:r>
              <w:rPr>
                <w:rFonts w:ascii="Aptos" w:hAnsi="Aptos"/>
                <w:b w:val="0"/>
                <w:color w:val="102A3D"/>
                <w:sz w:val="18"/>
              </w:rPr>
              <w:t>Esta semana no trate solamente de salir de la prueba. Pida a Dios que la use para formar una fe más madura, estable y centrada en Cristo.</w:t>
            </w:r>
          </w:p>
        </w:tc>
      </w:tr>
    </w:tbl>
    <w:sectPr w:rsidR="00FC693F" w:rsidRPr="0006063C" w:rsidSect="00034616">
      <w:footerReference w:type="default" r:id="rId9"/>
      <w:headerReference w:type="default" r:id="rId10"/>
      <w:pgSz w:w="12240" w:h="15840"/>
      <w:pgMar w:top="749" w:right="835" w:bottom="691" w:left="835" w:header="360"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jc w:val="center"/>
      <w:tblLayout w:type="fixed"/>
      <w:tblLook w:firstColumn="1" w:firstRow="1" w:lastColumn="0" w:lastRow="0" w:noHBand="0" w:noVBand="1" w:val="04A0"/>
    </w:tblPr>
    <w:tblGrid>
      <w:gridCol w:w="7920"/>
      <w:gridCol w:w="2088"/>
    </w:tblGrid>
    <w:tr>
      <w:tc>
        <w:tcPr>
          <w:tcW w:type="dxa" w:w="5004"/>
        </w:tcPr>
        <w:p>
          <w:pPr>
            <w:spacing w:before="80"/>
          </w:pPr>
          <w:r>
            <w:rPr>
              <w:rFonts w:ascii="Arial" w:hAnsi="Arial"/>
              <w:color w:val="057D75"/>
              <w:sz w:val="16"/>
            </w:rPr>
            <w:t>sinparedes.org  •  Armando S. J. Velásquez</w:t>
          </w:r>
        </w:p>
      </w:tc>
      <w:tc>
        <w:tcPr>
          <w:tcW w:type="dxa" w:w="5004"/>
        </w:tcPr>
        <w:p>
          <w:pPr>
            <w:spacing w:before="80"/>
            <w:jc w:val="right"/>
          </w:pPr>
          <w:r>
            <w:rPr>
              <w:rFonts w:ascii="Arial" w:hAnsi="Arial"/>
              <w:color w:val="102A3D"/>
              <w:sz w:val="16"/>
            </w:rPr>
            <w:t xml:space="preserve">Página </w:t>
          </w:r>
          <w: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jc w:val="center"/>
      <w:tblLayout w:type="fixed"/>
      <w:tblLook w:firstColumn="1" w:firstRow="1" w:lastColumn="0" w:lastRow="0" w:noHBand="0" w:noVBand="1" w:val="04A0"/>
    </w:tblPr>
    <w:tblGrid>
      <w:gridCol w:w="6768"/>
      <w:gridCol w:w="3240"/>
    </w:tblGrid>
    <w:tr>
      <w:tc>
        <w:tcPr>
          <w:tcW w:type="dxa" w:w="5004"/>
          <w:vAlign w:val="center"/>
          <w:tcBorders>
            <w:bottom w:val="single" w:sz="10" w:color="057D75"/>
          </w:tcBorders>
        </w:tcPr>
        <w:p>
          <w:pPr>
            <w:spacing w:after="80"/>
          </w:pPr>
          <w:r>
            <w:rPr>
              <w:rFonts w:ascii="Arial" w:hAnsi="Arial"/>
              <w:b/>
              <w:color w:val="102A3D"/>
              <w:sz w:val="18"/>
            </w:rPr>
            <w:t>SP  SIN PAREDES</w:t>
          </w:r>
        </w:p>
      </w:tc>
      <w:tc>
        <w:tcPr>
          <w:tcW w:type="dxa" w:w="5004"/>
          <w:vAlign w:val="center"/>
          <w:tcBorders>
            <w:bottom w:val="single" w:sz="10" w:color="057D75"/>
          </w:tcBorders>
        </w:tcPr>
        <w:p>
          <w:pPr>
            <w:spacing w:after="80"/>
            <w:jc w:val="right"/>
          </w:pPr>
          <w:r>
            <w:rPr>
              <w:rFonts w:ascii="Arial" w:hAnsi="Arial"/>
              <w:b/>
              <w:color w:val="FF725E"/>
              <w:sz w:val="16"/>
            </w:rPr>
            <w:t>RECURSOS BÍBLICOS</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4" w:line="245" w:lineRule="auto"/>
    </w:pPr>
    <w:rPr>
      <w:rFonts w:ascii="Aptos" w:hAnsi="Aptos"/>
      <w:color w:val="253442"/>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00" w:after="50"/>
      <w:outlineLvl w:val="0"/>
    </w:pPr>
    <w:rPr>
      <w:rFonts w:asciiTheme="majorHAnsi" w:eastAsiaTheme="majorEastAsia" w:hAnsiTheme="majorHAnsi" w:cstheme="majorBidi" w:ascii="Aptos Display" w:hAnsi="Aptos Display"/>
      <w:b/>
      <w:bCs/>
      <w:color w:val="102A3D"/>
      <w:sz w:val="30"/>
      <w:szCs w:val="28"/>
    </w:rPr>
  </w:style>
  <w:style w:type="paragraph" w:styleId="Heading2">
    <w:name w:val="heading 2"/>
    <w:basedOn w:val="Normal"/>
    <w:next w:val="Normal"/>
    <w:link w:val="Heading2Char"/>
    <w:uiPriority w:val="9"/>
    <w:unhideWhenUsed/>
    <w:qFormat/>
    <w:rsid w:val="00FC693F"/>
    <w:pPr>
      <w:keepNext/>
      <w:keepLines/>
      <w:spacing w:before="100" w:after="50"/>
      <w:outlineLvl w:val="1"/>
    </w:pPr>
    <w:rPr>
      <w:rFonts w:asciiTheme="majorHAnsi" w:eastAsiaTheme="majorEastAsia" w:hAnsiTheme="majorHAnsi" w:cstheme="majorBidi" w:ascii="Aptos Display" w:hAnsi="Aptos Display"/>
      <w:b/>
      <w:bCs/>
      <w:color w:val="057D75"/>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50" w:line="240" w:lineRule="auto" w:before="100"/>
      <w:contextualSpacing/>
    </w:pPr>
    <w:rPr>
      <w:rFonts w:asciiTheme="majorHAnsi" w:eastAsiaTheme="majorEastAsia" w:hAnsiTheme="majorHAnsi" w:cstheme="majorBidi" w:ascii="Aptos Display" w:hAnsi="Aptos Display"/>
      <w:b/>
      <w:color w:val="102A3D"/>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Serie ¿Funciona tu fe? — Santiago</dc:subject>
  <dc:creator>Armando S. J. Velásquez — Sin Paredes</dc:creator>
  <cp:keywords>Sin Paredes, Santiago, estudio bíblico, discipulado</cp:keywords>
  <dc:description>generated by python-docx</dc:description>
  <cp:lastModifiedBy/>
  <cp:revision>1</cp:revision>
  <dcterms:created xsi:type="dcterms:W3CDTF">2013-12-23T23:15:00Z</dcterms:created>
  <dcterms:modified xsi:type="dcterms:W3CDTF">2013-12-23T23:15:00Z</dcterms:modified>
  <cp:category/>
</cp:coreProperties>
</file>